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278D1" w:rsidRDefault="0092368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BC5558">
                    <w:t>Бухгалтерский учет, анализ и аудит</w:t>
                  </w:r>
                  <w:r>
                    <w:t>»</w:t>
                  </w:r>
                  <w:r w:rsidRPr="00FF2440">
                    <w:t xml:space="preserve">, </w:t>
                  </w:r>
                  <w:r w:rsidRPr="009421B8">
                    <w:t xml:space="preserve">утв. приказом ректора ОмГА от </w:t>
                  </w:r>
                  <w:r w:rsidR="00EB2CB9" w:rsidRPr="001953C0">
                    <w:rPr>
                      <w:color w:val="000000"/>
                    </w:rPr>
                    <w:t>2</w:t>
                  </w:r>
                  <w:r w:rsidR="00B36AAF">
                    <w:rPr>
                      <w:color w:val="000000"/>
                    </w:rPr>
                    <w:t>8</w:t>
                  </w:r>
                  <w:r w:rsidR="00EB2CB9" w:rsidRPr="001953C0">
                    <w:rPr>
                      <w:color w:val="000000"/>
                    </w:rPr>
                    <w:t>.0</w:t>
                  </w:r>
                  <w:r w:rsidR="004060A3">
                    <w:rPr>
                      <w:color w:val="000000"/>
                    </w:rPr>
                    <w:t>3</w:t>
                  </w:r>
                  <w:r w:rsidR="00EB2CB9" w:rsidRPr="001953C0">
                    <w:rPr>
                      <w:color w:val="000000"/>
                    </w:rPr>
                    <w:t>.202</w:t>
                  </w:r>
                  <w:r w:rsidR="00B36AAF">
                    <w:rPr>
                      <w:color w:val="000000"/>
                    </w:rPr>
                    <w:t>2 №28</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92368B"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B36AAF">
                    <w:rPr>
                      <w:sz w:val="24"/>
                      <w:szCs w:val="24"/>
                    </w:rPr>
                    <w:t>8</w:t>
                  </w:r>
                  <w:r w:rsidR="00EB2CB9" w:rsidRPr="00595AB4">
                    <w:rPr>
                      <w:sz w:val="24"/>
                      <w:szCs w:val="24"/>
                    </w:rPr>
                    <w:t>.0</w:t>
                  </w:r>
                  <w:r w:rsidR="004060A3">
                    <w:rPr>
                      <w:sz w:val="24"/>
                      <w:szCs w:val="24"/>
                    </w:rPr>
                    <w:t>3</w:t>
                  </w:r>
                  <w:r w:rsidR="00EB2CB9" w:rsidRPr="00595AB4">
                    <w:rPr>
                      <w:sz w:val="24"/>
                      <w:szCs w:val="24"/>
                    </w:rPr>
                    <w:t>.202</w:t>
                  </w:r>
                  <w:r w:rsidR="00B36AAF">
                    <w:rPr>
                      <w:sz w:val="24"/>
                      <w:szCs w:val="24"/>
                    </w:rPr>
                    <w:t>2</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BC5558" w:rsidRPr="007278D1">
        <w:rPr>
          <w:rFonts w:eastAsia="Courier New"/>
          <w:b/>
          <w:sz w:val="24"/>
          <w:szCs w:val="24"/>
          <w:lang w:bidi="ru-RU"/>
        </w:rPr>
        <w:t>Бухгалтерский учет, анализ и аудит</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w:t>
      </w:r>
      <w:r w:rsidR="00B36AAF">
        <w:rPr>
          <w:rFonts w:eastAsia="SimSun"/>
          <w:kern w:val="2"/>
          <w:sz w:val="24"/>
          <w:szCs w:val="24"/>
          <w:lang w:eastAsia="hi-IN" w:bidi="hi-IN"/>
        </w:rPr>
        <w:t>19</w:t>
      </w:r>
      <w:r w:rsidRPr="001953C0">
        <w:rPr>
          <w:rFonts w:eastAsia="SimSun"/>
          <w:kern w:val="2"/>
          <w:sz w:val="24"/>
          <w:szCs w:val="24"/>
          <w:lang w:eastAsia="hi-IN" w:bidi="hi-IN"/>
        </w:rPr>
        <w:t xml:space="preserve"> года набора соответственно</w:t>
      </w: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sidR="003675E5">
        <w:rPr>
          <w:rFonts w:eastAsia="SimSun"/>
          <w:kern w:val="2"/>
          <w:sz w:val="24"/>
          <w:szCs w:val="24"/>
          <w:lang w:eastAsia="hi-IN" w:bidi="hi-IN"/>
        </w:rPr>
        <w:t>1</w:t>
      </w:r>
      <w:r w:rsidR="00B36AAF">
        <w:rPr>
          <w:rFonts w:eastAsia="SimSun"/>
          <w:kern w:val="2"/>
          <w:sz w:val="24"/>
          <w:szCs w:val="24"/>
          <w:lang w:eastAsia="hi-IN" w:bidi="hi-IN"/>
        </w:rPr>
        <w:t>9</w:t>
      </w:r>
      <w:r w:rsidR="0039269D">
        <w:rPr>
          <w:rFonts w:eastAsia="SimSun"/>
          <w:kern w:val="2"/>
          <w:sz w:val="24"/>
          <w:szCs w:val="24"/>
          <w:lang w:eastAsia="hi-IN" w:bidi="hi-IN"/>
        </w:rPr>
        <w:t>/2020</w:t>
      </w:r>
      <w:r w:rsidR="00B36AAF">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B36AAF" w:rsidRPr="001953C0" w:rsidRDefault="00B36AAF"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B36AAF">
        <w:rPr>
          <w:sz w:val="24"/>
          <w:szCs w:val="24"/>
        </w:rPr>
        <w:t>2</w:t>
      </w:r>
    </w:p>
    <w:p w:rsidR="00271BE8" w:rsidRDefault="007C277B" w:rsidP="00EB2CB9">
      <w:pPr>
        <w:widowControl/>
        <w:autoSpaceDE/>
        <w:adjustRightInd/>
        <w:ind w:left="5670"/>
        <w:rPr>
          <w:sz w:val="24"/>
          <w:szCs w:val="24"/>
        </w:rPr>
      </w:pPr>
      <w:r w:rsidRPr="007278D1">
        <w:rPr>
          <w:sz w:val="24"/>
          <w:szCs w:val="24"/>
        </w:rPr>
        <w:br w:type="page"/>
      </w:r>
    </w:p>
    <w:p w:rsidR="00B36AAF" w:rsidRPr="00D9148F" w:rsidRDefault="00B36AAF" w:rsidP="00B36AAF">
      <w:pPr>
        <w:spacing w:after="160" w:line="256" w:lineRule="auto"/>
        <w:rPr>
          <w:spacing w:val="-3"/>
          <w:sz w:val="24"/>
          <w:szCs w:val="24"/>
          <w:lang w:eastAsia="en-US"/>
        </w:rPr>
      </w:pPr>
      <w:r w:rsidRPr="00D9148F">
        <w:rPr>
          <w:spacing w:val="-3"/>
          <w:sz w:val="24"/>
          <w:szCs w:val="24"/>
          <w:lang w:eastAsia="en-US"/>
        </w:rPr>
        <w:t>Составитель:</w:t>
      </w:r>
    </w:p>
    <w:p w:rsidR="00B36AAF" w:rsidRPr="00D9148F" w:rsidRDefault="00B36AAF" w:rsidP="00B36AAF">
      <w:pPr>
        <w:widowControl/>
        <w:autoSpaceDE/>
        <w:autoSpaceDN/>
        <w:adjustRightInd/>
        <w:jc w:val="both"/>
        <w:rPr>
          <w:spacing w:val="-3"/>
          <w:sz w:val="24"/>
          <w:szCs w:val="24"/>
          <w:lang w:eastAsia="en-US"/>
        </w:rPr>
      </w:pPr>
    </w:p>
    <w:p w:rsidR="00B36AAF" w:rsidRPr="00D9148F" w:rsidRDefault="00B36AAF" w:rsidP="00B36AA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36AAF" w:rsidRPr="00D9148F" w:rsidRDefault="00B36AAF" w:rsidP="00B36AAF">
      <w:pPr>
        <w:widowControl/>
        <w:autoSpaceDE/>
        <w:autoSpaceDN/>
        <w:adjustRightInd/>
        <w:jc w:val="both"/>
        <w:rPr>
          <w:spacing w:val="-3"/>
          <w:sz w:val="24"/>
          <w:szCs w:val="24"/>
          <w:lang w:eastAsia="en-US"/>
        </w:rPr>
      </w:pPr>
    </w:p>
    <w:p w:rsidR="00B36AAF" w:rsidRDefault="00B36AAF" w:rsidP="00B36AA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36AAF" w:rsidRPr="00D9148F" w:rsidRDefault="00B36AAF" w:rsidP="00B36AAF">
      <w:pPr>
        <w:widowControl/>
        <w:suppressAutoHyphens/>
        <w:autoSpaceDE/>
        <w:adjustRightInd/>
        <w:jc w:val="both"/>
        <w:rPr>
          <w:spacing w:val="-3"/>
          <w:sz w:val="24"/>
          <w:szCs w:val="24"/>
          <w:lang w:eastAsia="en-US"/>
        </w:rPr>
      </w:pPr>
    </w:p>
    <w:p w:rsidR="00B36AAF" w:rsidRDefault="00B36AAF" w:rsidP="00B36AA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B36AAF" w:rsidRDefault="00B36AAF" w:rsidP="00B36AAF">
      <w:pPr>
        <w:tabs>
          <w:tab w:val="left" w:pos="1459"/>
        </w:tabs>
        <w:jc w:val="both"/>
        <w:rPr>
          <w:spacing w:val="-3"/>
          <w:sz w:val="24"/>
          <w:szCs w:val="24"/>
          <w:lang w:eastAsia="en-US"/>
        </w:rPr>
      </w:pPr>
      <w:r>
        <w:rPr>
          <w:spacing w:val="-3"/>
          <w:sz w:val="24"/>
          <w:szCs w:val="24"/>
          <w:lang w:eastAsia="en-US"/>
        </w:rPr>
        <w:tab/>
      </w:r>
    </w:p>
    <w:p w:rsidR="00B36AAF" w:rsidRPr="0038356B" w:rsidRDefault="00B36AAF" w:rsidP="00B36AAF">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D11EE2">
      <w:pPr>
        <w:spacing w:after="160" w:line="256" w:lineRule="auto"/>
        <w:rPr>
          <w:sz w:val="24"/>
          <w:szCs w:val="24"/>
        </w:rPr>
      </w:pPr>
    </w:p>
    <w:p w:rsidR="00DF1076" w:rsidRPr="007278D1" w:rsidRDefault="00B36AAF"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B36AAF" w:rsidRPr="004A7E26" w:rsidRDefault="00B36AAF" w:rsidP="00B36AAF">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6AAF" w:rsidRPr="007111B5" w:rsidRDefault="00B36AAF" w:rsidP="00B36AA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72C" w:rsidRDefault="002933E5" w:rsidP="004060A3">
      <w:pPr>
        <w:ind w:firstLine="708"/>
        <w:jc w:val="both"/>
        <w:rPr>
          <w:sz w:val="24"/>
          <w:szCs w:val="24"/>
        </w:rPr>
      </w:pPr>
      <w:r w:rsidRPr="007278D1">
        <w:rPr>
          <w:sz w:val="24"/>
          <w:szCs w:val="24"/>
          <w:lang w:eastAsia="en-US"/>
        </w:rPr>
        <w:t>- учебным план</w:t>
      </w:r>
      <w:r w:rsidR="00E42AED" w:rsidRPr="007278D1">
        <w:rPr>
          <w:sz w:val="24"/>
          <w:szCs w:val="24"/>
          <w:lang w:eastAsia="en-US"/>
        </w:rPr>
        <w:t>ом</w:t>
      </w:r>
      <w:r w:rsidRPr="007278D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278D1">
        <w:rPr>
          <w:sz w:val="24"/>
          <w:szCs w:val="24"/>
        </w:rPr>
        <w:t xml:space="preserve">по направлению подготовки </w:t>
      </w:r>
      <w:r w:rsidR="00E20708" w:rsidRPr="007278D1">
        <w:rPr>
          <w:b/>
          <w:sz w:val="24"/>
          <w:szCs w:val="24"/>
        </w:rPr>
        <w:t xml:space="preserve">38.03.01 Экономика </w:t>
      </w:r>
      <w:r w:rsidR="00FE56C2" w:rsidRPr="007278D1">
        <w:rPr>
          <w:b/>
          <w:sz w:val="24"/>
          <w:szCs w:val="24"/>
        </w:rPr>
        <w:t>(уровень бакалавриата)</w:t>
      </w:r>
      <w:r w:rsidR="00F00B76" w:rsidRPr="007278D1">
        <w:rPr>
          <w:sz w:val="24"/>
          <w:szCs w:val="24"/>
        </w:rPr>
        <w:t xml:space="preserve">, </w:t>
      </w:r>
      <w:r w:rsidRPr="007278D1">
        <w:rPr>
          <w:sz w:val="24"/>
          <w:szCs w:val="24"/>
        </w:rPr>
        <w:t xml:space="preserve">направленность (профиль) </w:t>
      </w:r>
      <w:r w:rsidR="00A76E53" w:rsidRPr="007278D1">
        <w:rPr>
          <w:sz w:val="24"/>
          <w:szCs w:val="24"/>
        </w:rPr>
        <w:t xml:space="preserve">программы </w:t>
      </w:r>
      <w:r w:rsidR="00887C1D" w:rsidRPr="007278D1">
        <w:rPr>
          <w:sz w:val="24"/>
          <w:szCs w:val="24"/>
        </w:rPr>
        <w:t>«</w:t>
      </w:r>
      <w:r w:rsidR="00BC5558" w:rsidRPr="007278D1">
        <w:rPr>
          <w:sz w:val="24"/>
          <w:szCs w:val="24"/>
        </w:rPr>
        <w:t>Бухгалтерский учет, анализ и аудит</w:t>
      </w:r>
      <w:r w:rsidR="00887C1D" w:rsidRPr="007278D1">
        <w:rPr>
          <w:sz w:val="24"/>
          <w:szCs w:val="24"/>
        </w:rPr>
        <w:t>»</w:t>
      </w:r>
      <w:r w:rsidRPr="00F7672C">
        <w:rPr>
          <w:sz w:val="24"/>
          <w:szCs w:val="24"/>
        </w:rPr>
        <w:t>;</w:t>
      </w:r>
      <w:r w:rsidR="00271BE8" w:rsidRPr="00F7672C">
        <w:rPr>
          <w:sz w:val="24"/>
          <w:szCs w:val="24"/>
          <w:lang w:eastAsia="en-US"/>
        </w:rPr>
        <w:t xml:space="preserve"> форма обучения – очная на </w:t>
      </w:r>
      <w:r w:rsidR="00F7672C" w:rsidRPr="00F7672C">
        <w:rPr>
          <w:color w:val="000000"/>
          <w:sz w:val="24"/>
          <w:szCs w:val="24"/>
        </w:rPr>
        <w:t>20</w:t>
      </w:r>
      <w:r w:rsidR="00F7672C">
        <w:rPr>
          <w:color w:val="000000"/>
          <w:sz w:val="24"/>
          <w:szCs w:val="24"/>
        </w:rPr>
        <w:t>2</w:t>
      </w:r>
      <w:r w:rsidR="00B36AAF">
        <w:rPr>
          <w:color w:val="000000"/>
          <w:sz w:val="24"/>
          <w:szCs w:val="24"/>
        </w:rPr>
        <w:t>2</w:t>
      </w:r>
      <w:r w:rsidR="00F7672C">
        <w:rPr>
          <w:color w:val="000000"/>
          <w:sz w:val="24"/>
          <w:szCs w:val="24"/>
        </w:rPr>
        <w:t>/202</w:t>
      </w:r>
      <w:r w:rsidR="00B36AAF">
        <w:rPr>
          <w:color w:val="000000"/>
          <w:sz w:val="24"/>
          <w:szCs w:val="24"/>
        </w:rPr>
        <w:t>3</w:t>
      </w:r>
      <w:r w:rsidR="00F7672C">
        <w:rPr>
          <w:color w:val="000000"/>
          <w:sz w:val="24"/>
          <w:szCs w:val="24"/>
        </w:rPr>
        <w:t xml:space="preserve"> учебный год, утвержденным приказом ректора от 2</w:t>
      </w:r>
      <w:r w:rsidR="00B36AAF">
        <w:rPr>
          <w:color w:val="000000"/>
          <w:sz w:val="24"/>
          <w:szCs w:val="24"/>
        </w:rPr>
        <w:t>8</w:t>
      </w:r>
      <w:r w:rsidR="00F7672C">
        <w:rPr>
          <w:color w:val="000000"/>
          <w:sz w:val="24"/>
          <w:szCs w:val="24"/>
        </w:rPr>
        <w:t>.0</w:t>
      </w:r>
      <w:r w:rsidR="004060A3">
        <w:rPr>
          <w:color w:val="000000"/>
          <w:sz w:val="24"/>
          <w:szCs w:val="24"/>
        </w:rPr>
        <w:t>3</w:t>
      </w:r>
      <w:r w:rsidR="00F7672C">
        <w:rPr>
          <w:color w:val="000000"/>
          <w:sz w:val="24"/>
          <w:szCs w:val="24"/>
        </w:rPr>
        <w:t>.202</w:t>
      </w:r>
      <w:r w:rsidR="00B36AAF">
        <w:rPr>
          <w:color w:val="000000"/>
          <w:sz w:val="24"/>
          <w:szCs w:val="24"/>
        </w:rPr>
        <w:t>2</w:t>
      </w:r>
      <w:r w:rsidR="00F7672C">
        <w:rPr>
          <w:color w:val="000000"/>
          <w:sz w:val="24"/>
          <w:szCs w:val="24"/>
        </w:rPr>
        <w:t xml:space="preserve"> №</w:t>
      </w:r>
      <w:r w:rsidR="00B36AAF">
        <w:rPr>
          <w:color w:val="000000"/>
          <w:sz w:val="24"/>
          <w:szCs w:val="24"/>
        </w:rPr>
        <w:t>28</w:t>
      </w:r>
      <w:r w:rsidR="00F7672C">
        <w:rPr>
          <w:color w:val="000000"/>
          <w:sz w:val="24"/>
          <w:szCs w:val="24"/>
        </w:rPr>
        <w:t>;</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BC5558" w:rsidRPr="007278D1">
        <w:rPr>
          <w:b/>
          <w:sz w:val="24"/>
          <w:szCs w:val="24"/>
        </w:rPr>
        <w:t>Бухгалтерский учет, анализ и аудит</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B36AAF" w:rsidRPr="00F7672C">
        <w:rPr>
          <w:color w:val="000000"/>
          <w:sz w:val="24"/>
          <w:szCs w:val="24"/>
        </w:rPr>
        <w:t>20</w:t>
      </w:r>
      <w:r w:rsidR="00B36AAF">
        <w:rPr>
          <w:color w:val="000000"/>
          <w:sz w:val="24"/>
          <w:szCs w:val="24"/>
        </w:rPr>
        <w:t>22/2023 учебный год, утвержденным приказом ректора от 28.03.2022 №28.</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w:t>
      </w:r>
      <w:r w:rsidRPr="007278D1">
        <w:rPr>
          <w:b/>
          <w:sz w:val="24"/>
          <w:szCs w:val="24"/>
        </w:rPr>
        <w:lastRenderedPageBreak/>
        <w:t xml:space="preserve">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4060A3">
        <w:rPr>
          <w:b/>
          <w:sz w:val="24"/>
          <w:szCs w:val="24"/>
        </w:rPr>
        <w:t>2</w:t>
      </w:r>
      <w:r w:rsidR="00B36AAF">
        <w:rPr>
          <w:b/>
          <w:sz w:val="24"/>
          <w:szCs w:val="24"/>
        </w:rPr>
        <w:t>2</w:t>
      </w:r>
      <w:r w:rsidRPr="007278D1">
        <w:rPr>
          <w:b/>
          <w:sz w:val="24"/>
          <w:szCs w:val="24"/>
        </w:rPr>
        <w:t>/2</w:t>
      </w:r>
      <w:r w:rsidR="009F4070" w:rsidRPr="007278D1">
        <w:rPr>
          <w:b/>
          <w:sz w:val="24"/>
          <w:szCs w:val="24"/>
        </w:rPr>
        <w:t>0</w:t>
      </w:r>
      <w:r w:rsidR="00271BE8">
        <w:rPr>
          <w:b/>
          <w:sz w:val="24"/>
          <w:szCs w:val="24"/>
        </w:rPr>
        <w:t>2</w:t>
      </w:r>
      <w:r w:rsidR="00B36AAF">
        <w:rPr>
          <w:b/>
          <w:sz w:val="24"/>
          <w:szCs w:val="24"/>
        </w:rPr>
        <w:t>3</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t xml:space="preserve">граммы </w:t>
      </w:r>
      <w:r w:rsidR="00887C1D" w:rsidRPr="007278D1">
        <w:rPr>
          <w:b/>
          <w:sz w:val="24"/>
          <w:szCs w:val="24"/>
        </w:rPr>
        <w:t>«</w:t>
      </w:r>
      <w:r w:rsidR="00BC5558" w:rsidRPr="007278D1">
        <w:rPr>
          <w:b/>
          <w:sz w:val="24"/>
          <w:szCs w:val="24"/>
        </w:rPr>
        <w:t>Бухгалтерский учет, анализ и аудит</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B36AAF">
        <w:rPr>
          <w:sz w:val="24"/>
          <w:szCs w:val="24"/>
        </w:rPr>
        <w:t>2</w:t>
      </w:r>
      <w:r w:rsidR="009F4070" w:rsidRPr="007278D1">
        <w:rPr>
          <w:sz w:val="24"/>
          <w:szCs w:val="24"/>
        </w:rPr>
        <w:t>/20</w:t>
      </w:r>
      <w:r w:rsidR="00271BE8">
        <w:rPr>
          <w:sz w:val="24"/>
          <w:szCs w:val="24"/>
        </w:rPr>
        <w:t>2</w:t>
      </w:r>
      <w:r w:rsidR="00B36AAF">
        <w:rPr>
          <w:sz w:val="24"/>
          <w:szCs w:val="24"/>
        </w:rPr>
        <w:t>3</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lastRenderedPageBreak/>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w:t>
            </w:r>
            <w:r w:rsidRPr="007278D1">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 xml:space="preserve">официально-деловой стиль,  научный стиль, </w:t>
      </w:r>
      <w:r w:rsidRPr="007278D1">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lastRenderedPageBreak/>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B36AAF">
        <w:rPr>
          <w:rFonts w:ascii="Times New Roman" w:hAnsi="Times New Roman"/>
          <w:sz w:val="24"/>
          <w:szCs w:val="24"/>
        </w:rPr>
        <w:t>2</w:t>
      </w:r>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92368B">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92368B">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92368B">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92368B">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92368B">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92368B">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92368B">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92368B">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92368B">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92368B">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92368B">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92368B">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2368B">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92368B">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92368B">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2368B">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lastRenderedPageBreak/>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7278D1">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lastRenderedPageBreak/>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92368B">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92368B">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92368B">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92368B">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92368B">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history="1">
        <w:r w:rsidR="0092368B">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92368B">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92368B">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92368B">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7278D1">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sidRPr="007278D1">
        <w:rPr>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B3D" w:rsidRDefault="00F02B3D" w:rsidP="00160BC1">
      <w:r>
        <w:separator/>
      </w:r>
    </w:p>
  </w:endnote>
  <w:endnote w:type="continuationSeparator" w:id="0">
    <w:p w:rsidR="00F02B3D" w:rsidRDefault="00F02B3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B3D" w:rsidRDefault="00F02B3D" w:rsidP="00160BC1">
      <w:r>
        <w:separator/>
      </w:r>
    </w:p>
  </w:footnote>
  <w:footnote w:type="continuationSeparator" w:id="0">
    <w:p w:rsidR="00F02B3D" w:rsidRDefault="00F02B3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7E2E"/>
    <w:rsid w:val="00207FB7"/>
    <w:rsid w:val="00211C1B"/>
    <w:rsid w:val="00215615"/>
    <w:rsid w:val="00240A81"/>
    <w:rsid w:val="00245199"/>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5C7E"/>
    <w:rsid w:val="003618C2"/>
    <w:rsid w:val="00363097"/>
    <w:rsid w:val="00365758"/>
    <w:rsid w:val="003668E3"/>
    <w:rsid w:val="003675E5"/>
    <w:rsid w:val="00387E92"/>
    <w:rsid w:val="00390B62"/>
    <w:rsid w:val="0039269D"/>
    <w:rsid w:val="00396D09"/>
    <w:rsid w:val="003A3494"/>
    <w:rsid w:val="003A57B5"/>
    <w:rsid w:val="003A6FB0"/>
    <w:rsid w:val="003A71E4"/>
    <w:rsid w:val="003B3D17"/>
    <w:rsid w:val="003B48B6"/>
    <w:rsid w:val="003B5F3D"/>
    <w:rsid w:val="003B7F71"/>
    <w:rsid w:val="003E712A"/>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572F"/>
    <w:rsid w:val="0047633A"/>
    <w:rsid w:val="0048300E"/>
    <w:rsid w:val="0049217A"/>
    <w:rsid w:val="004931CD"/>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37F01"/>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368B"/>
    <w:rsid w:val="009247FC"/>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C2A25"/>
    <w:rsid w:val="009E35D2"/>
    <w:rsid w:val="009F4070"/>
    <w:rsid w:val="00A275E4"/>
    <w:rsid w:val="00A32A5F"/>
    <w:rsid w:val="00A3406E"/>
    <w:rsid w:val="00A35D39"/>
    <w:rsid w:val="00A44F9E"/>
    <w:rsid w:val="00A53A7F"/>
    <w:rsid w:val="00A567CD"/>
    <w:rsid w:val="00A63D90"/>
    <w:rsid w:val="00A75675"/>
    <w:rsid w:val="00A76E53"/>
    <w:rsid w:val="00A9607B"/>
    <w:rsid w:val="00A96C48"/>
    <w:rsid w:val="00AA2A29"/>
    <w:rsid w:val="00AB2091"/>
    <w:rsid w:val="00AB640D"/>
    <w:rsid w:val="00AD0669"/>
    <w:rsid w:val="00AD208A"/>
    <w:rsid w:val="00AD4A3C"/>
    <w:rsid w:val="00AE3177"/>
    <w:rsid w:val="00AF51F5"/>
    <w:rsid w:val="00AF61EB"/>
    <w:rsid w:val="00B00BC3"/>
    <w:rsid w:val="00B30844"/>
    <w:rsid w:val="00B36AAF"/>
    <w:rsid w:val="00B45C73"/>
    <w:rsid w:val="00B5209B"/>
    <w:rsid w:val="00B5219F"/>
    <w:rsid w:val="00B542D4"/>
    <w:rsid w:val="00B54421"/>
    <w:rsid w:val="00B5670B"/>
    <w:rsid w:val="00B642B8"/>
    <w:rsid w:val="00B811F8"/>
    <w:rsid w:val="00B817E2"/>
    <w:rsid w:val="00B82E3E"/>
    <w:rsid w:val="00BA6967"/>
    <w:rsid w:val="00BB5891"/>
    <w:rsid w:val="00BB6C9A"/>
    <w:rsid w:val="00BB70FB"/>
    <w:rsid w:val="00BC5558"/>
    <w:rsid w:val="00BC7A08"/>
    <w:rsid w:val="00BE023D"/>
    <w:rsid w:val="00BF22FC"/>
    <w:rsid w:val="00BF3260"/>
    <w:rsid w:val="00C1245E"/>
    <w:rsid w:val="00C126E5"/>
    <w:rsid w:val="00C228C5"/>
    <w:rsid w:val="00C24EA8"/>
    <w:rsid w:val="00C26026"/>
    <w:rsid w:val="00C33468"/>
    <w:rsid w:val="00C3475E"/>
    <w:rsid w:val="00C40C06"/>
    <w:rsid w:val="00C478A1"/>
    <w:rsid w:val="00C54809"/>
    <w:rsid w:val="00C55E91"/>
    <w:rsid w:val="00C70CA1"/>
    <w:rsid w:val="00C7200A"/>
    <w:rsid w:val="00C77D9D"/>
    <w:rsid w:val="00C90A7A"/>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400F"/>
    <w:rsid w:val="00D8506D"/>
    <w:rsid w:val="00D85664"/>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28E4"/>
    <w:rsid w:val="00ED64EE"/>
    <w:rsid w:val="00ED789C"/>
    <w:rsid w:val="00EE05EB"/>
    <w:rsid w:val="00EE165B"/>
    <w:rsid w:val="00EE4D57"/>
    <w:rsid w:val="00EF49BB"/>
    <w:rsid w:val="00F00B76"/>
    <w:rsid w:val="00F02B3D"/>
    <w:rsid w:val="00F06F17"/>
    <w:rsid w:val="00F14CA7"/>
    <w:rsid w:val="00F226CA"/>
    <w:rsid w:val="00F239D1"/>
    <w:rsid w:val="00F322E1"/>
    <w:rsid w:val="00F342F7"/>
    <w:rsid w:val="00F40FEC"/>
    <w:rsid w:val="00F421FF"/>
    <w:rsid w:val="00F42549"/>
    <w:rsid w:val="00F4591F"/>
    <w:rsid w:val="00F625A5"/>
    <w:rsid w:val="00F63ADF"/>
    <w:rsid w:val="00F63BBC"/>
    <w:rsid w:val="00F74558"/>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 w:type="character" w:styleId="af7">
    <w:name w:val="Unresolved Mention"/>
    <w:basedOn w:val="a0"/>
    <w:uiPriority w:val="99"/>
    <w:semiHidden/>
    <w:unhideWhenUsed/>
    <w:rsid w:val="00F7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7401</Words>
  <Characters>42191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18</cp:revision>
  <cp:lastPrinted>2019-02-27T02:47:00Z</cp:lastPrinted>
  <dcterms:created xsi:type="dcterms:W3CDTF">2021-01-16T12:00:00Z</dcterms:created>
  <dcterms:modified xsi:type="dcterms:W3CDTF">2022-11-12T10:14:00Z</dcterms:modified>
</cp:coreProperties>
</file>